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915C8A" w14:textId="77777777" w:rsidR="009A6E62" w:rsidRDefault="009A6E62" w:rsidP="009A6E62">
      <w:pPr>
        <w:spacing w:after="160" w:line="252" w:lineRule="auto"/>
        <w:rPr>
          <w:b/>
          <w:bCs/>
        </w:rPr>
      </w:pPr>
      <w:r>
        <w:rPr>
          <w:b/>
          <w:bCs/>
        </w:rPr>
        <w:t>Lectio agostana 2024 – Prima lettera a Timoteo. Venerdì 9 agosto.</w:t>
      </w:r>
    </w:p>
    <w:p w14:paraId="78570D34" w14:textId="3FF4C299" w:rsidR="00285B06" w:rsidRDefault="009A6E62">
      <w:pPr>
        <w:rPr>
          <w:b/>
          <w:bCs/>
        </w:rPr>
      </w:pPr>
      <w:r w:rsidRPr="009A6E62">
        <w:rPr>
          <w:b/>
          <w:bCs/>
        </w:rPr>
        <w:t>Presentazione dell</w:t>
      </w:r>
      <w:r w:rsidR="00A25A93">
        <w:rPr>
          <w:b/>
          <w:bCs/>
        </w:rPr>
        <w:t>e</w:t>
      </w:r>
      <w:r w:rsidRPr="009A6E62">
        <w:rPr>
          <w:b/>
          <w:bCs/>
        </w:rPr>
        <w:t xml:space="preserve"> letter</w:t>
      </w:r>
      <w:r w:rsidR="00A25A93">
        <w:rPr>
          <w:b/>
          <w:bCs/>
        </w:rPr>
        <w:t>e</w:t>
      </w:r>
      <w:r w:rsidR="004A3E72">
        <w:rPr>
          <w:b/>
          <w:bCs/>
        </w:rPr>
        <w:t xml:space="preserve"> a Timoteo</w:t>
      </w:r>
      <w:r w:rsidRPr="009A6E62">
        <w:rPr>
          <w:b/>
          <w:bCs/>
        </w:rPr>
        <w:t xml:space="preserve">. </w:t>
      </w:r>
    </w:p>
    <w:p w14:paraId="1D779060" w14:textId="7303C906" w:rsidR="00F975F7" w:rsidRDefault="00F975F7" w:rsidP="00F975F7">
      <w:pPr>
        <w:jc w:val="both"/>
        <w:rPr>
          <w:i/>
          <w:iCs/>
        </w:rPr>
      </w:pPr>
      <w:r>
        <w:t xml:space="preserve">La miglior presentazione di Timoteo è quella che fa </w:t>
      </w:r>
      <w:proofErr w:type="gramStart"/>
      <w:r>
        <w:t>S.Paolo</w:t>
      </w:r>
      <w:proofErr w:type="gramEnd"/>
      <w:r>
        <w:t xml:space="preserve"> quando di lui così ha scritto nella lettera ai Filippesi. </w:t>
      </w:r>
      <w:r w:rsidRPr="00F975F7">
        <w:rPr>
          <w:i/>
          <w:iCs/>
        </w:rPr>
        <w:t>‘Spero nel Signore Gesù di mandarvi presto Timòteo, per essere anch'io confortato nel ricevere vostre notizie. </w:t>
      </w:r>
      <w:r w:rsidRPr="00F975F7">
        <w:rPr>
          <w:i/>
          <w:iCs/>
          <w:vertAlign w:val="superscript"/>
        </w:rPr>
        <w:t>20</w:t>
      </w:r>
      <w:r w:rsidRPr="00F975F7">
        <w:rPr>
          <w:i/>
          <w:iCs/>
        </w:rPr>
        <w:t>Infatti, non ho nessuno che condivida come lui i miei sentimenti e prenda sinceramente a cuore ciò che vi riguarda: </w:t>
      </w:r>
      <w:r w:rsidRPr="00F975F7">
        <w:rPr>
          <w:i/>
          <w:iCs/>
          <w:vertAlign w:val="superscript"/>
        </w:rPr>
        <w:t>21</w:t>
      </w:r>
      <w:r w:rsidRPr="00F975F7">
        <w:rPr>
          <w:i/>
          <w:iCs/>
        </w:rPr>
        <w:t>tutti in realtà cercano i propri interessi, non quelli di Gesù Cristo. </w:t>
      </w:r>
      <w:r w:rsidRPr="00F975F7">
        <w:rPr>
          <w:i/>
          <w:iCs/>
          <w:vertAlign w:val="superscript"/>
        </w:rPr>
        <w:t>22</w:t>
      </w:r>
      <w:r w:rsidRPr="00F975F7">
        <w:rPr>
          <w:i/>
          <w:iCs/>
        </w:rPr>
        <w:t>Voi conoscete la buona prova da lui data, poiché ha servito il Vangelo insieme con me, come un figlio con il padre. </w:t>
      </w:r>
      <w:r w:rsidRPr="00F975F7">
        <w:rPr>
          <w:i/>
          <w:iCs/>
          <w:vertAlign w:val="superscript"/>
        </w:rPr>
        <w:t>23</w:t>
      </w:r>
      <w:r w:rsidRPr="00F975F7">
        <w:rPr>
          <w:i/>
          <w:iCs/>
        </w:rPr>
        <w:t>Spero quindi di mandarvelo presto, appena avrò visto chiaro nella mia situazion</w:t>
      </w:r>
      <w:r>
        <w:rPr>
          <w:i/>
          <w:iCs/>
        </w:rPr>
        <w:t>e</w:t>
      </w:r>
      <w:proofErr w:type="gramStart"/>
      <w:r>
        <w:rPr>
          <w:i/>
          <w:iCs/>
        </w:rPr>
        <w:t>’(</w:t>
      </w:r>
      <w:proofErr w:type="gramEnd"/>
      <w:r>
        <w:rPr>
          <w:i/>
          <w:iCs/>
        </w:rPr>
        <w:t>Fil 2,19-23).</w:t>
      </w:r>
    </w:p>
    <w:p w14:paraId="152BFCCE" w14:textId="0EA13C2C" w:rsidR="00544B5D" w:rsidRDefault="00544B5D" w:rsidP="00F975F7">
      <w:pPr>
        <w:jc w:val="both"/>
      </w:pPr>
      <w:r>
        <w:t>Dalle pagine del Nuovo Testamento è possibile tracciare un profilo biografico di Timoteo, prezioso collaboratore di Paolo. Timoteo (‘Timorato di Dio’) nasce a Listra, città distante 200 Km a nord-ovest di Tarso, città natale di Paolo.</w:t>
      </w:r>
      <w:r w:rsidR="008F6449">
        <w:t xml:space="preserve"> Listra</w:t>
      </w:r>
      <w:r w:rsidR="00CA6995">
        <w:t>,</w:t>
      </w:r>
      <w:r w:rsidR="008F6449">
        <w:t xml:space="preserve"> situata poco distante da Iconio (attuale Konia)</w:t>
      </w:r>
      <w:r w:rsidR="00CA6995">
        <w:t>,</w:t>
      </w:r>
      <w:r w:rsidR="008F6449">
        <w:t xml:space="preserve"> faceva parte della provincia romana della Licaonia.</w:t>
      </w:r>
      <w:r>
        <w:t xml:space="preserve"> Entrambe queste città oggi si trovano nell’attuale Turchia</w:t>
      </w:r>
      <w:r w:rsidR="008F6449">
        <w:t>. Suo padre era pagano e sua madre ebrea. In 2° Tm 1,5 abbiamo anche il</w:t>
      </w:r>
      <w:r w:rsidR="00CA6995">
        <w:t xml:space="preserve"> suo</w:t>
      </w:r>
      <w:r w:rsidR="008F6449">
        <w:t xml:space="preserve"> nome: Eunike; sappiamo anche il nome della nonna: Loide. </w:t>
      </w:r>
      <w:r w:rsidR="00CA6995">
        <w:t xml:space="preserve"> </w:t>
      </w:r>
      <w:r w:rsidR="008F6449">
        <w:t>La madre non era</w:t>
      </w:r>
      <w:r w:rsidR="004A3E72">
        <w:t xml:space="preserve"> praticante:</w:t>
      </w:r>
      <w:r w:rsidR="008F6449">
        <w:t xml:space="preserve"> infatti non ha fatto circoncidere il figlio. Ha aderito alla fede cristiana</w:t>
      </w:r>
      <w:r w:rsidR="00A73F2A">
        <w:t>:</w:t>
      </w:r>
      <w:r w:rsidR="008F6449">
        <w:t xml:space="preserve"> in At</w:t>
      </w:r>
      <w:r w:rsidR="004A3E72">
        <w:t xml:space="preserve"> </w:t>
      </w:r>
      <w:r w:rsidR="008F6449">
        <w:t xml:space="preserve">16,1 è definita ‘credente’. Perciò Timoteo apprende il cristianesimo non direttamente da Paolo ma dalla propria famiglia. </w:t>
      </w:r>
    </w:p>
    <w:p w14:paraId="3D28384A" w14:textId="53819C0D" w:rsidR="008F6449" w:rsidRDefault="008F6449" w:rsidP="00F975F7">
      <w:pPr>
        <w:jc w:val="both"/>
      </w:pPr>
      <w:r>
        <w:t xml:space="preserve">Circa la paternità della due lettere vale quanto detto per la lettera a Tito. Per la maggior parte degli studiosi le due lettere a Timoteo sono pseudoepigrafe con varie sfumature. </w:t>
      </w:r>
      <w:r w:rsidR="00F074F6">
        <w:t>È, comunque,</w:t>
      </w:r>
      <w:r>
        <w:t xml:space="preserve"> diffusa e documentata l’opinione che la 2° Tm possa essere di Paolo, scritta </w:t>
      </w:r>
      <w:r w:rsidR="00F074F6">
        <w:t>verso il 66-67 d.C. al termine della sua lunga prigionia romana e poco prima della sua morte. Quindi la 2° Tm farebbe da sfondo alla 1° Tm e alla lettera a Tt.</w:t>
      </w:r>
    </w:p>
    <w:p w14:paraId="47AB731F" w14:textId="183AFAA3" w:rsidR="00F074F6" w:rsidRDefault="00A73F2A" w:rsidP="00F975F7">
      <w:pPr>
        <w:jc w:val="both"/>
      </w:pPr>
      <w:r>
        <w:t>I</w:t>
      </w:r>
      <w:r w:rsidR="00F074F6">
        <w:t>l contenuto</w:t>
      </w:r>
      <w:r>
        <w:t xml:space="preserve"> delle due lettere verrà ripreso nel corso della Lectio agostana. Segnalo, per una prima lett</w:t>
      </w:r>
      <w:r w:rsidR="00795159">
        <w:t>u</w:t>
      </w:r>
      <w:r>
        <w:t>ra veloce delle</w:t>
      </w:r>
      <w:r w:rsidR="00795159">
        <w:t xml:space="preserve"> due</w:t>
      </w:r>
      <w:r>
        <w:t xml:space="preserve"> lettere</w:t>
      </w:r>
      <w:r w:rsidR="00795159">
        <w:t>,</w:t>
      </w:r>
      <w:r>
        <w:t xml:space="preserve"> i tratti fondamental</w:t>
      </w:r>
      <w:r w:rsidR="004A3E72">
        <w:t>i</w:t>
      </w:r>
      <w:r>
        <w:t xml:space="preserve"> del contenuto teologico di entrambe.</w:t>
      </w:r>
    </w:p>
    <w:p w14:paraId="4D92410C" w14:textId="17453270" w:rsidR="00A73F2A" w:rsidRDefault="00AD441B" w:rsidP="00A73F2A">
      <w:pPr>
        <w:pStyle w:val="Paragrafoelenco"/>
        <w:numPr>
          <w:ilvl w:val="0"/>
          <w:numId w:val="2"/>
        </w:numPr>
        <w:jc w:val="both"/>
      </w:pPr>
      <w:r>
        <w:t xml:space="preserve">Il contenuto delle lettere pastorali è segnato dalla dialettica tra la ‘sana dottrina’ e l’insegnamento dei ‘falsi maestri’. Per </w:t>
      </w:r>
      <w:r w:rsidR="00795159">
        <w:t xml:space="preserve">questo </w:t>
      </w:r>
      <w:r>
        <w:t>è necessario conservare il ‘deposito’ della fede e combattere ‘la buona battaglia’. L’identità degli avversari è poco determinata perché l’accento è posto sulla salvaguardia della comunità. Comunque l’unico tratto degli avversari che emerge</w:t>
      </w:r>
      <w:r w:rsidR="00795159">
        <w:t xml:space="preserve"> con chiarezza</w:t>
      </w:r>
      <w:r>
        <w:t xml:space="preserve"> è quello dei giudaizzanti.</w:t>
      </w:r>
    </w:p>
    <w:p w14:paraId="57EE67AF" w14:textId="1A32C8CF" w:rsidR="00AD441B" w:rsidRDefault="00AD441B" w:rsidP="00A73F2A">
      <w:pPr>
        <w:pStyle w:val="Paragrafoelenco"/>
        <w:numPr>
          <w:ilvl w:val="0"/>
          <w:numId w:val="2"/>
        </w:numPr>
        <w:jc w:val="both"/>
      </w:pPr>
      <w:r>
        <w:t>Dio e Gesù sono i salvatori dell’umanità; questa si manifesta nella misericordia del Padre che è apparsa nella storia del Figlio Gesù.</w:t>
      </w:r>
    </w:p>
    <w:p w14:paraId="429153F9" w14:textId="54ACB021" w:rsidR="00AD441B" w:rsidRDefault="00AD441B" w:rsidP="00A73F2A">
      <w:pPr>
        <w:pStyle w:val="Paragrafoelenco"/>
        <w:numPr>
          <w:ilvl w:val="0"/>
          <w:numId w:val="2"/>
        </w:numPr>
        <w:jc w:val="both"/>
      </w:pPr>
      <w:r>
        <w:t>Ecclesiologia. L’immagine dominante è quella della Chiesa come ‘casa di Dio’. La metafora è presa dalla società greco-romana, dove la ‘casa/famiglia’ rappresentava il nucleo fondamentale della ‘città’.</w:t>
      </w:r>
      <w:r w:rsidR="002D474D">
        <w:t xml:space="preserve"> Questa metafora sottolineava in particolare il rapporto tra il ‘paterfamiglias’ con il resto della casa. Sulla scia di questa metafora la 1° Tm testimonia la progressiva maturazione della gerarchia ecclesiastica.</w:t>
      </w:r>
      <w:r>
        <w:t xml:space="preserve"> </w:t>
      </w:r>
      <w:r w:rsidR="002D474D">
        <w:t>Non emerge ancora con chiarezza la figura dell’episcopo che sarà matura solo attorno al 110 d.C. nelle lettere di Sant’Ignazio di Antiochia.</w:t>
      </w:r>
    </w:p>
    <w:p w14:paraId="5C785128" w14:textId="69F00850" w:rsidR="002D474D" w:rsidRDefault="002D474D" w:rsidP="00A73F2A">
      <w:pPr>
        <w:pStyle w:val="Paragrafoelenco"/>
        <w:numPr>
          <w:ilvl w:val="0"/>
          <w:numId w:val="2"/>
        </w:numPr>
        <w:jc w:val="both"/>
      </w:pPr>
      <w:r>
        <w:t xml:space="preserve">Insegnamento etico. Le comunità cristiane sanno di essere osservate e si preoccupano dell’immagine che possono dare all’esterno: la buona condotta, anche civica, dei battezzati è </w:t>
      </w:r>
      <w:r w:rsidR="00795159">
        <w:t xml:space="preserve">la </w:t>
      </w:r>
      <w:r>
        <w:t xml:space="preserve">credenziale di fronte alla società pagana. Anche la preghiera per le autorità </w:t>
      </w:r>
      <w:r w:rsidR="00795159">
        <w:t xml:space="preserve">mira a propiziare una vita calma e tranquilla. Il messaggio di Timoteo non tende a destabilizzare l’ordine civile, ma mostra interesse per le sorti della società. La condotta di ogni membro della comunità deve essere ispirata alla ‘pietas’; concetto ereditato dalla classicità che coinvolge il rapporto del battezzato con Dio e con il prossimo. </w:t>
      </w:r>
    </w:p>
    <w:p w14:paraId="026AE6A6" w14:textId="199B3BDF" w:rsidR="00795159" w:rsidRDefault="00795159" w:rsidP="00795159">
      <w:pPr>
        <w:jc w:val="both"/>
      </w:pPr>
    </w:p>
    <w:p w14:paraId="7A9F20EE" w14:textId="03ECCBE8" w:rsidR="00F975F7" w:rsidRDefault="00CA6995" w:rsidP="00F975F7">
      <w:pPr>
        <w:jc w:val="both"/>
        <w:rPr>
          <w:b/>
          <w:bCs/>
        </w:rPr>
      </w:pPr>
      <w:r>
        <w:rPr>
          <w:b/>
          <w:bCs/>
        </w:rPr>
        <w:t>La struttura della 1° Timoteo in quattro quadri.</w:t>
      </w:r>
    </w:p>
    <w:p w14:paraId="627DA66A" w14:textId="77777777" w:rsidR="00CA6995" w:rsidRPr="00CA6995" w:rsidRDefault="00CA6995" w:rsidP="00F975F7">
      <w:pPr>
        <w:jc w:val="both"/>
        <w:rPr>
          <w:b/>
          <w:bCs/>
        </w:rPr>
      </w:pPr>
    </w:p>
    <w:p w14:paraId="1908130F" w14:textId="5963089B" w:rsidR="00CA6995" w:rsidRPr="00B85CD1" w:rsidRDefault="00795159" w:rsidP="00B85CD1">
      <w:pPr>
        <w:pStyle w:val="Paragrafoelenco"/>
        <w:numPr>
          <w:ilvl w:val="0"/>
          <w:numId w:val="3"/>
        </w:numPr>
        <w:jc w:val="both"/>
        <w:rPr>
          <w:b/>
          <w:bCs/>
          <w:u w:val="single"/>
        </w:rPr>
      </w:pPr>
      <w:r w:rsidRPr="00CA6995">
        <w:rPr>
          <w:b/>
          <w:bCs/>
          <w:u w:val="single"/>
        </w:rPr>
        <w:t xml:space="preserve">La ‘buona battaglia’. </w:t>
      </w:r>
      <w:r w:rsidR="00CA6995">
        <w:t>Descrive l’impegno per la difesa della ‘sana dottrina’</w:t>
      </w:r>
    </w:p>
    <w:p w14:paraId="1F97066A" w14:textId="62E3B817" w:rsidR="00F975F7" w:rsidRDefault="00F975F7" w:rsidP="00CA6995">
      <w:pPr>
        <w:pStyle w:val="Paragrafoelenco"/>
        <w:numPr>
          <w:ilvl w:val="0"/>
          <w:numId w:val="4"/>
        </w:numPr>
        <w:jc w:val="both"/>
      </w:pPr>
      <w:r>
        <w:t>Indirizzo e saluto (1,1-2)</w:t>
      </w:r>
    </w:p>
    <w:p w14:paraId="1ED0CEA8" w14:textId="3393F855" w:rsidR="00F975F7" w:rsidRDefault="002A76A8" w:rsidP="00CA6995">
      <w:pPr>
        <w:pStyle w:val="Paragrafoelenco"/>
        <w:numPr>
          <w:ilvl w:val="0"/>
          <w:numId w:val="4"/>
        </w:numPr>
        <w:jc w:val="both"/>
      </w:pPr>
      <w:r>
        <w:t>Gli insegnamenti degli eretici (1, 3-11)</w:t>
      </w:r>
    </w:p>
    <w:p w14:paraId="10895BDB" w14:textId="3D0C1A7A" w:rsidR="002A76A8" w:rsidRDefault="002A76A8" w:rsidP="00CA6995">
      <w:pPr>
        <w:pStyle w:val="Paragrafoelenco"/>
        <w:numPr>
          <w:ilvl w:val="0"/>
          <w:numId w:val="4"/>
        </w:numPr>
        <w:jc w:val="both"/>
      </w:pPr>
      <w:r>
        <w:t>La vicenda personale di Paolo (1, 12-17)</w:t>
      </w:r>
    </w:p>
    <w:p w14:paraId="5837B988" w14:textId="3D7D212D" w:rsidR="002A76A8" w:rsidRDefault="002A76A8" w:rsidP="00CA6995">
      <w:pPr>
        <w:pStyle w:val="Paragrafoelenco"/>
        <w:numPr>
          <w:ilvl w:val="0"/>
          <w:numId w:val="4"/>
        </w:numPr>
        <w:jc w:val="both"/>
      </w:pPr>
      <w:r>
        <w:t>Il ministero di Timoteo contro il naufragio della fede (1, 18-20)</w:t>
      </w:r>
    </w:p>
    <w:p w14:paraId="2DB886B3" w14:textId="77777777" w:rsidR="00CA6995" w:rsidRDefault="00CA6995" w:rsidP="00F975F7">
      <w:pPr>
        <w:jc w:val="both"/>
        <w:rPr>
          <w:b/>
          <w:bCs/>
        </w:rPr>
      </w:pPr>
    </w:p>
    <w:p w14:paraId="21F39D63" w14:textId="580628C1" w:rsidR="002A76A8" w:rsidRPr="00CA6995" w:rsidRDefault="002A76A8" w:rsidP="00CA6995">
      <w:pPr>
        <w:pStyle w:val="Paragrafoelenco"/>
        <w:numPr>
          <w:ilvl w:val="0"/>
          <w:numId w:val="3"/>
        </w:numPr>
        <w:jc w:val="both"/>
        <w:rPr>
          <w:b/>
          <w:bCs/>
          <w:u w:val="single"/>
        </w:rPr>
      </w:pPr>
      <w:r w:rsidRPr="00CA6995">
        <w:rPr>
          <w:b/>
          <w:bCs/>
          <w:u w:val="single"/>
        </w:rPr>
        <w:t>L’ordinamento della comunità (2,1-3,16)</w:t>
      </w:r>
      <w:r w:rsidR="00CA6995">
        <w:rPr>
          <w:b/>
          <w:bCs/>
          <w:u w:val="single"/>
        </w:rPr>
        <w:t xml:space="preserve">. </w:t>
      </w:r>
    </w:p>
    <w:p w14:paraId="6955B3B8" w14:textId="434FEB60" w:rsidR="002A76A8" w:rsidRDefault="002A76A8" w:rsidP="00B85CD1">
      <w:pPr>
        <w:pStyle w:val="Paragrafoelenco"/>
        <w:numPr>
          <w:ilvl w:val="0"/>
          <w:numId w:val="5"/>
        </w:numPr>
        <w:jc w:val="both"/>
      </w:pPr>
      <w:r>
        <w:t>La preghiera</w:t>
      </w:r>
      <w:r w:rsidR="00B85CD1">
        <w:t xml:space="preserve"> ecclesiale e preghiera universale (</w:t>
      </w:r>
      <w:r>
        <w:t>2,1-7)</w:t>
      </w:r>
    </w:p>
    <w:p w14:paraId="5B96488B" w14:textId="7AF4CBFD" w:rsidR="002A76A8" w:rsidRDefault="00B85CD1" w:rsidP="00B85CD1">
      <w:pPr>
        <w:pStyle w:val="Paragrafoelenco"/>
        <w:numPr>
          <w:ilvl w:val="0"/>
          <w:numId w:val="5"/>
        </w:numPr>
        <w:jc w:val="both"/>
      </w:pPr>
      <w:r>
        <w:lastRenderedPageBreak/>
        <w:t>D</w:t>
      </w:r>
      <w:r w:rsidR="002A76A8">
        <w:t xml:space="preserve">onne </w:t>
      </w:r>
      <w:r>
        <w:t xml:space="preserve">e uomini </w:t>
      </w:r>
      <w:r w:rsidR="002A76A8">
        <w:t>nella preghiera (2,8-15)</w:t>
      </w:r>
    </w:p>
    <w:p w14:paraId="4276009F" w14:textId="531851B3" w:rsidR="002A76A8" w:rsidRDefault="00B85CD1" w:rsidP="00B85CD1">
      <w:pPr>
        <w:pStyle w:val="Paragrafoelenco"/>
        <w:numPr>
          <w:ilvl w:val="0"/>
          <w:numId w:val="5"/>
        </w:numPr>
        <w:jc w:val="both"/>
      </w:pPr>
      <w:r>
        <w:t>Compito dell’e</w:t>
      </w:r>
      <w:r w:rsidR="002A76A8">
        <w:t xml:space="preserve">piscopo e </w:t>
      </w:r>
      <w:r>
        <w:t xml:space="preserve">dei </w:t>
      </w:r>
      <w:r w:rsidR="002A76A8">
        <w:t>diaconi (3,1-13)</w:t>
      </w:r>
    </w:p>
    <w:p w14:paraId="09A52740" w14:textId="71B11FAE" w:rsidR="002A76A8" w:rsidRDefault="002A76A8" w:rsidP="00B85CD1">
      <w:pPr>
        <w:pStyle w:val="Paragrafoelenco"/>
        <w:numPr>
          <w:ilvl w:val="0"/>
          <w:numId w:val="5"/>
        </w:numPr>
        <w:jc w:val="both"/>
      </w:pPr>
      <w:r>
        <w:t>Comporta</w:t>
      </w:r>
      <w:r w:rsidR="00B85CD1">
        <w:t>mento nella Chiesa,</w:t>
      </w:r>
      <w:r>
        <w:t xml:space="preserve"> casa di Dio (3, 14-16)</w:t>
      </w:r>
    </w:p>
    <w:p w14:paraId="698BA680" w14:textId="77777777" w:rsidR="00B85CD1" w:rsidRDefault="00B85CD1" w:rsidP="00B85CD1">
      <w:pPr>
        <w:pStyle w:val="Paragrafoelenco"/>
        <w:jc w:val="both"/>
        <w:rPr>
          <w:b/>
          <w:bCs/>
        </w:rPr>
      </w:pPr>
    </w:p>
    <w:p w14:paraId="1578D35C" w14:textId="12A01254" w:rsidR="00B85CD1" w:rsidRDefault="004A3E72" w:rsidP="00B85CD1">
      <w:pPr>
        <w:pStyle w:val="Paragrafoelenco"/>
        <w:numPr>
          <w:ilvl w:val="0"/>
          <w:numId w:val="3"/>
        </w:numPr>
        <w:jc w:val="both"/>
        <w:rPr>
          <w:b/>
          <w:bCs/>
          <w:u w:val="single"/>
        </w:rPr>
      </w:pPr>
      <w:r w:rsidRPr="00B85CD1">
        <w:rPr>
          <w:b/>
          <w:bCs/>
          <w:u w:val="single"/>
        </w:rPr>
        <w:t>Ministri,</w:t>
      </w:r>
      <w:r w:rsidR="00B85CD1" w:rsidRPr="00B85CD1">
        <w:rPr>
          <w:b/>
          <w:bCs/>
          <w:u w:val="single"/>
        </w:rPr>
        <w:t xml:space="preserve"> categorie di fedeli ed eresie nella Casa di Dio (4,16,19)</w:t>
      </w:r>
    </w:p>
    <w:p w14:paraId="65BDF429" w14:textId="0C3C731B" w:rsidR="00B85CD1" w:rsidRPr="009C5808" w:rsidRDefault="00B85CD1" w:rsidP="00B85CD1">
      <w:pPr>
        <w:pStyle w:val="Paragrafoelenco"/>
        <w:numPr>
          <w:ilvl w:val="0"/>
          <w:numId w:val="7"/>
        </w:numPr>
        <w:jc w:val="both"/>
        <w:rPr>
          <w:b/>
          <w:bCs/>
          <w:u w:val="single"/>
        </w:rPr>
      </w:pPr>
      <w:r>
        <w:t>Gli inganni degli eretici e l’azione del buon ministro (4,1-</w:t>
      </w:r>
      <w:r w:rsidR="009C5808">
        <w:t>16)</w:t>
      </w:r>
    </w:p>
    <w:p w14:paraId="409729E6" w14:textId="6F47C613" w:rsidR="009C5808" w:rsidRPr="009C5808" w:rsidRDefault="009C5808" w:rsidP="00B85CD1">
      <w:pPr>
        <w:pStyle w:val="Paragrafoelenco"/>
        <w:numPr>
          <w:ilvl w:val="0"/>
          <w:numId w:val="7"/>
        </w:numPr>
        <w:jc w:val="both"/>
        <w:rPr>
          <w:b/>
          <w:bCs/>
          <w:u w:val="single"/>
        </w:rPr>
      </w:pPr>
      <w:r>
        <w:t>Comportamento dei presbiteri (5,1-16)</w:t>
      </w:r>
    </w:p>
    <w:p w14:paraId="75FE4F06" w14:textId="1DAFCC60" w:rsidR="009C5808" w:rsidRPr="009C5808" w:rsidRDefault="009C5808" w:rsidP="00B85CD1">
      <w:pPr>
        <w:pStyle w:val="Paragrafoelenco"/>
        <w:numPr>
          <w:ilvl w:val="0"/>
          <w:numId w:val="7"/>
        </w:numPr>
        <w:jc w:val="both"/>
        <w:rPr>
          <w:b/>
          <w:bCs/>
          <w:u w:val="single"/>
        </w:rPr>
      </w:pPr>
      <w:r>
        <w:t>Presbiteri buoni e cattivi (5, 17-25)</w:t>
      </w:r>
    </w:p>
    <w:p w14:paraId="48C3D6BE" w14:textId="55615054" w:rsidR="009C5808" w:rsidRPr="009C5808" w:rsidRDefault="009C5808" w:rsidP="00B85CD1">
      <w:pPr>
        <w:pStyle w:val="Paragrafoelenco"/>
        <w:numPr>
          <w:ilvl w:val="0"/>
          <w:numId w:val="7"/>
        </w:numPr>
        <w:jc w:val="both"/>
        <w:rPr>
          <w:b/>
          <w:bCs/>
          <w:u w:val="single"/>
        </w:rPr>
      </w:pPr>
      <w:r>
        <w:t>Gli schiavi appartenenti alla casa di Dio (6,1-2)</w:t>
      </w:r>
    </w:p>
    <w:p w14:paraId="4E69B275" w14:textId="34766578" w:rsidR="009C5808" w:rsidRPr="009C5808" w:rsidRDefault="009C5808" w:rsidP="00B85CD1">
      <w:pPr>
        <w:pStyle w:val="Paragrafoelenco"/>
        <w:numPr>
          <w:ilvl w:val="0"/>
          <w:numId w:val="7"/>
        </w:numPr>
        <w:jc w:val="both"/>
        <w:rPr>
          <w:b/>
          <w:bCs/>
          <w:u w:val="single"/>
        </w:rPr>
      </w:pPr>
      <w:r>
        <w:t>Il ministro e gli eretici (6,3-16)</w:t>
      </w:r>
    </w:p>
    <w:p w14:paraId="79AF4D72" w14:textId="000F8F2F" w:rsidR="009C5808" w:rsidRPr="009C5808" w:rsidRDefault="009C5808" w:rsidP="00B85CD1">
      <w:pPr>
        <w:pStyle w:val="Paragrafoelenco"/>
        <w:numPr>
          <w:ilvl w:val="0"/>
          <w:numId w:val="7"/>
        </w:numPr>
        <w:jc w:val="both"/>
        <w:rPr>
          <w:b/>
          <w:bCs/>
          <w:u w:val="single"/>
        </w:rPr>
      </w:pPr>
      <w:r>
        <w:t>I ricchi nella casa di Dio (6,17-19)</w:t>
      </w:r>
    </w:p>
    <w:p w14:paraId="193B00AD" w14:textId="77777777" w:rsidR="009C5808" w:rsidRDefault="009C5808" w:rsidP="009C5808">
      <w:pPr>
        <w:jc w:val="both"/>
        <w:rPr>
          <w:b/>
          <w:bCs/>
          <w:u w:val="single"/>
        </w:rPr>
      </w:pPr>
    </w:p>
    <w:p w14:paraId="6DF13D85" w14:textId="05910709" w:rsidR="009C5808" w:rsidRPr="009C5808" w:rsidRDefault="009C5808" w:rsidP="009C5808">
      <w:pPr>
        <w:pStyle w:val="Paragrafoelenco"/>
        <w:numPr>
          <w:ilvl w:val="0"/>
          <w:numId w:val="3"/>
        </w:numPr>
        <w:jc w:val="both"/>
        <w:rPr>
          <w:b/>
          <w:bCs/>
          <w:u w:val="single"/>
        </w:rPr>
      </w:pPr>
      <w:r>
        <w:rPr>
          <w:b/>
          <w:bCs/>
          <w:u w:val="single"/>
        </w:rPr>
        <w:t>Esortazione conclusiva.</w:t>
      </w:r>
      <w:r>
        <w:t xml:space="preserve"> (6, 20-21)</w:t>
      </w:r>
    </w:p>
    <w:p w14:paraId="6422769A" w14:textId="77777777" w:rsidR="00B85CD1" w:rsidRPr="00B85CD1" w:rsidRDefault="00B85CD1" w:rsidP="00B85CD1">
      <w:pPr>
        <w:jc w:val="both"/>
        <w:rPr>
          <w:b/>
          <w:bCs/>
          <w:u w:val="single"/>
        </w:rPr>
      </w:pPr>
    </w:p>
    <w:sectPr w:rsidR="00B85CD1" w:rsidRPr="00B85CD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553931"/>
    <w:multiLevelType w:val="hybridMultilevel"/>
    <w:tmpl w:val="A6B874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221ADC"/>
    <w:multiLevelType w:val="hybridMultilevel"/>
    <w:tmpl w:val="4C18C5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04568F"/>
    <w:multiLevelType w:val="hybridMultilevel"/>
    <w:tmpl w:val="27FE88D4"/>
    <w:lvl w:ilvl="0" w:tplc="1DE2C39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7F09DA"/>
    <w:multiLevelType w:val="hybridMultilevel"/>
    <w:tmpl w:val="19AC50B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E35123"/>
    <w:multiLevelType w:val="hybridMultilevel"/>
    <w:tmpl w:val="EC02BF2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92C6C0D"/>
    <w:multiLevelType w:val="hybridMultilevel"/>
    <w:tmpl w:val="AA341A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522A9B"/>
    <w:multiLevelType w:val="hybridMultilevel"/>
    <w:tmpl w:val="73E0B654"/>
    <w:lvl w:ilvl="0" w:tplc="5508AB2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4763080">
    <w:abstractNumId w:val="6"/>
  </w:num>
  <w:num w:numId="2" w16cid:durableId="1184972490">
    <w:abstractNumId w:val="2"/>
  </w:num>
  <w:num w:numId="3" w16cid:durableId="1676961111">
    <w:abstractNumId w:val="3"/>
  </w:num>
  <w:num w:numId="4" w16cid:durableId="2110617366">
    <w:abstractNumId w:val="5"/>
  </w:num>
  <w:num w:numId="5" w16cid:durableId="177931534">
    <w:abstractNumId w:val="1"/>
  </w:num>
  <w:num w:numId="6" w16cid:durableId="1983339197">
    <w:abstractNumId w:val="4"/>
  </w:num>
  <w:num w:numId="7" w16cid:durableId="226302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E62"/>
    <w:rsid w:val="0010217F"/>
    <w:rsid w:val="001307F2"/>
    <w:rsid w:val="0016511F"/>
    <w:rsid w:val="001C15FB"/>
    <w:rsid w:val="00285B06"/>
    <w:rsid w:val="002A76A8"/>
    <w:rsid w:val="002D474D"/>
    <w:rsid w:val="004A1102"/>
    <w:rsid w:val="004A3E72"/>
    <w:rsid w:val="00544B5D"/>
    <w:rsid w:val="005E53DD"/>
    <w:rsid w:val="00795159"/>
    <w:rsid w:val="008F6449"/>
    <w:rsid w:val="00932F3C"/>
    <w:rsid w:val="009A447F"/>
    <w:rsid w:val="009A6E62"/>
    <w:rsid w:val="009C5808"/>
    <w:rsid w:val="00A25A93"/>
    <w:rsid w:val="00A73F2A"/>
    <w:rsid w:val="00AD441B"/>
    <w:rsid w:val="00B85CD1"/>
    <w:rsid w:val="00CA6995"/>
    <w:rsid w:val="00F074F6"/>
    <w:rsid w:val="00F975F7"/>
    <w:rsid w:val="00FE1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7D49E"/>
  <w15:chartTrackingRefBased/>
  <w15:docId w15:val="{4B60F256-3EED-4EED-9EC3-72BD8B85C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kern w:val="2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E53DD"/>
    <w:pPr>
      <w:suppressAutoHyphens/>
    </w:pPr>
    <w:rPr>
      <w:rFonts w:ascii="Calibri" w:hAnsi="Calibri"/>
      <w:kern w:val="0"/>
      <w:sz w:val="22"/>
      <w:szCs w:val="22"/>
      <w:lang w:eastAsia="ar-SA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E12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87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710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Luigi Galli</dc:creator>
  <cp:keywords/>
  <dc:description/>
  <cp:lastModifiedBy>don Luigi Galli</cp:lastModifiedBy>
  <cp:revision>11</cp:revision>
  <dcterms:created xsi:type="dcterms:W3CDTF">2024-07-28T06:07:00Z</dcterms:created>
  <dcterms:modified xsi:type="dcterms:W3CDTF">2024-08-09T05:12:00Z</dcterms:modified>
</cp:coreProperties>
</file>